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5339C" w14:textId="77777777" w:rsidR="00EF2770" w:rsidRDefault="00EF2770" w:rsidP="006565FE">
      <w:pPr>
        <w:pStyle w:val="NoSpacing"/>
        <w:rPr>
          <w:b/>
          <w:sz w:val="30"/>
          <w:u w:val="single"/>
        </w:rPr>
      </w:pPr>
    </w:p>
    <w:p w14:paraId="2BE2D5A3" w14:textId="77777777" w:rsidR="00EF2770" w:rsidRDefault="00EF2770" w:rsidP="006565FE">
      <w:pPr>
        <w:pStyle w:val="NoSpacing"/>
        <w:rPr>
          <w:b/>
          <w:sz w:val="30"/>
          <w:u w:val="single"/>
        </w:rPr>
      </w:pPr>
    </w:p>
    <w:p w14:paraId="7442C30C" w14:textId="1819ABDC" w:rsidR="009D604C" w:rsidRPr="002E39B6" w:rsidRDefault="006565FE" w:rsidP="006565FE">
      <w:pPr>
        <w:pStyle w:val="NoSpacing"/>
        <w:rPr>
          <w:sz w:val="30"/>
        </w:rPr>
      </w:pPr>
      <w:r w:rsidRPr="002E39B6">
        <w:rPr>
          <w:b/>
          <w:sz w:val="30"/>
          <w:u w:val="single"/>
        </w:rPr>
        <w:t>HAUGHLEY VILLAGE HALL – COSHH RISK ASSESSMENT AND MANAGEMENT</w:t>
      </w:r>
    </w:p>
    <w:p w14:paraId="4041A43D" w14:textId="77777777" w:rsidR="006565FE" w:rsidRDefault="006565FE" w:rsidP="006565FE">
      <w:pPr>
        <w:pStyle w:val="NoSpacing"/>
      </w:pPr>
    </w:p>
    <w:p w14:paraId="0C9CBF3E" w14:textId="45536ABF" w:rsidR="002E39B6" w:rsidRDefault="002E39B6" w:rsidP="0068270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safety of </w:t>
      </w:r>
      <w:r w:rsidR="00585CB4">
        <w:rPr>
          <w:sz w:val="24"/>
          <w:szCs w:val="24"/>
        </w:rPr>
        <w:t>H</w:t>
      </w:r>
      <w:r>
        <w:rPr>
          <w:sz w:val="24"/>
          <w:szCs w:val="24"/>
        </w:rPr>
        <w:t xml:space="preserve">all users and staff is the primary consideration of the </w:t>
      </w:r>
      <w:r w:rsidR="00585CB4">
        <w:rPr>
          <w:sz w:val="24"/>
          <w:szCs w:val="24"/>
        </w:rPr>
        <w:t>Villag</w:t>
      </w:r>
      <w:r w:rsidR="0017798A">
        <w:rPr>
          <w:sz w:val="24"/>
          <w:szCs w:val="24"/>
        </w:rPr>
        <w:t xml:space="preserve">e Hall </w:t>
      </w:r>
      <w:r>
        <w:rPr>
          <w:sz w:val="24"/>
          <w:szCs w:val="24"/>
        </w:rPr>
        <w:t>Management Committee</w:t>
      </w:r>
      <w:r w:rsidR="004B0D82">
        <w:rPr>
          <w:sz w:val="24"/>
          <w:szCs w:val="24"/>
        </w:rPr>
        <w:t xml:space="preserve"> (VHMC)</w:t>
      </w:r>
      <w:r>
        <w:rPr>
          <w:sz w:val="24"/>
          <w:szCs w:val="24"/>
        </w:rPr>
        <w:t xml:space="preserve">. </w:t>
      </w:r>
      <w:r w:rsidR="00084566">
        <w:rPr>
          <w:sz w:val="24"/>
          <w:szCs w:val="24"/>
        </w:rPr>
        <w:t xml:space="preserve"> Regarding</w:t>
      </w:r>
      <w:r>
        <w:rPr>
          <w:sz w:val="24"/>
          <w:szCs w:val="24"/>
        </w:rPr>
        <w:t xml:space="preserve"> </w:t>
      </w:r>
      <w:r w:rsidR="005A75ED">
        <w:rPr>
          <w:sz w:val="24"/>
          <w:szCs w:val="24"/>
        </w:rPr>
        <w:t xml:space="preserve">the Control of </w:t>
      </w:r>
      <w:r>
        <w:rPr>
          <w:sz w:val="24"/>
          <w:szCs w:val="24"/>
        </w:rPr>
        <w:t>Substances Harmful to Health (COSHH)</w:t>
      </w:r>
      <w:r w:rsidR="008F3E55">
        <w:rPr>
          <w:sz w:val="24"/>
          <w:szCs w:val="24"/>
        </w:rPr>
        <w:t>, we aim to minimise the quantities of COSHH materials held permanently on site</w:t>
      </w:r>
      <w:r w:rsidR="006E699D">
        <w:rPr>
          <w:sz w:val="24"/>
          <w:szCs w:val="24"/>
        </w:rPr>
        <w:t>.  T</w:t>
      </w:r>
      <w:r w:rsidR="008F3E55">
        <w:rPr>
          <w:sz w:val="24"/>
          <w:szCs w:val="24"/>
        </w:rPr>
        <w:t>hose which are in situ are isolated as far as is sensibly possible.</w:t>
      </w:r>
    </w:p>
    <w:p w14:paraId="746159A7" w14:textId="77777777" w:rsidR="00A43D3D" w:rsidRDefault="00A43D3D" w:rsidP="0068270A">
      <w:pPr>
        <w:pStyle w:val="NoSpacing"/>
        <w:jc w:val="both"/>
        <w:rPr>
          <w:sz w:val="24"/>
          <w:szCs w:val="24"/>
        </w:rPr>
      </w:pPr>
    </w:p>
    <w:p w14:paraId="55B95B58" w14:textId="6AECF2F0" w:rsidR="00A43D3D" w:rsidRDefault="00A43D3D" w:rsidP="0068270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Any person importing substances carrying one of the COSHH hazard symbols should consult with a member of the V</w:t>
      </w:r>
      <w:r w:rsidR="004B0D82">
        <w:rPr>
          <w:sz w:val="24"/>
          <w:szCs w:val="24"/>
        </w:rPr>
        <w:t>HMC</w:t>
      </w:r>
      <w:r>
        <w:rPr>
          <w:sz w:val="24"/>
          <w:szCs w:val="24"/>
        </w:rPr>
        <w:t xml:space="preserve"> to make sure it is either safe or should be controlled.</w:t>
      </w:r>
    </w:p>
    <w:p w14:paraId="42F22C97" w14:textId="77777777" w:rsidR="008F3E55" w:rsidRDefault="008F3E55" w:rsidP="006565FE">
      <w:pPr>
        <w:pStyle w:val="NoSpacing"/>
        <w:rPr>
          <w:sz w:val="24"/>
          <w:szCs w:val="24"/>
        </w:rPr>
      </w:pPr>
    </w:p>
    <w:p w14:paraId="5FA56CBA" w14:textId="77777777" w:rsidR="008F3E55" w:rsidRPr="002E39B6" w:rsidRDefault="008F3E55" w:rsidP="006565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table below shows holdings of COSHH at the date shown on the revision of this note.  This note will be updated annually.</w:t>
      </w:r>
    </w:p>
    <w:p w14:paraId="68490D89" w14:textId="77777777" w:rsidR="002E39B6" w:rsidRDefault="002E39B6" w:rsidP="006565FE">
      <w:pPr>
        <w:pStyle w:val="NoSpacing"/>
      </w:pPr>
    </w:p>
    <w:p w14:paraId="5599252C" w14:textId="77777777" w:rsidR="002E39B6" w:rsidRDefault="002E39B6" w:rsidP="006565F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8"/>
        <w:gridCol w:w="2787"/>
        <w:gridCol w:w="2789"/>
        <w:gridCol w:w="2799"/>
        <w:gridCol w:w="2785"/>
      </w:tblGrid>
      <w:tr w:rsidR="00456F09" w14:paraId="6177D7AA" w14:textId="77777777" w:rsidTr="006565FE">
        <w:tc>
          <w:tcPr>
            <w:tcW w:w="2834" w:type="dxa"/>
          </w:tcPr>
          <w:p w14:paraId="6F33F21B" w14:textId="77777777" w:rsidR="006565FE" w:rsidRDefault="006565FE" w:rsidP="006565FE">
            <w:pPr>
              <w:pStyle w:val="NoSpacing"/>
            </w:pPr>
            <w:r>
              <w:t>ITEM</w:t>
            </w:r>
          </w:p>
        </w:tc>
        <w:tc>
          <w:tcPr>
            <w:tcW w:w="2835" w:type="dxa"/>
          </w:tcPr>
          <w:p w14:paraId="36DBEFF1" w14:textId="77777777" w:rsidR="006565FE" w:rsidRDefault="006565FE" w:rsidP="006565FE">
            <w:pPr>
              <w:pStyle w:val="NoSpacing"/>
            </w:pPr>
            <w:r>
              <w:t>LOCATION</w:t>
            </w:r>
          </w:p>
        </w:tc>
        <w:tc>
          <w:tcPr>
            <w:tcW w:w="2835" w:type="dxa"/>
          </w:tcPr>
          <w:p w14:paraId="2E90CD63" w14:textId="77777777" w:rsidR="006565FE" w:rsidRDefault="006565FE" w:rsidP="006565FE">
            <w:pPr>
              <w:pStyle w:val="NoSpacing"/>
            </w:pPr>
            <w:r>
              <w:t xml:space="preserve">HAZARD </w:t>
            </w:r>
          </w:p>
        </w:tc>
        <w:tc>
          <w:tcPr>
            <w:tcW w:w="2835" w:type="dxa"/>
          </w:tcPr>
          <w:p w14:paraId="04242AD5" w14:textId="77777777" w:rsidR="006565FE" w:rsidRDefault="006565FE" w:rsidP="006565FE">
            <w:pPr>
              <w:pStyle w:val="NoSpacing"/>
            </w:pPr>
            <w:r>
              <w:t>MANAGEMENT</w:t>
            </w:r>
          </w:p>
        </w:tc>
        <w:tc>
          <w:tcPr>
            <w:tcW w:w="2835" w:type="dxa"/>
          </w:tcPr>
          <w:p w14:paraId="7A8BD503" w14:textId="77777777" w:rsidR="006565FE" w:rsidRDefault="006565FE" w:rsidP="006565FE">
            <w:pPr>
              <w:pStyle w:val="NoSpacing"/>
            </w:pPr>
            <w:r>
              <w:t>RESIDUAL RISK</w:t>
            </w:r>
          </w:p>
        </w:tc>
      </w:tr>
      <w:tr w:rsidR="00456F09" w14:paraId="2D892219" w14:textId="77777777" w:rsidTr="006565FE">
        <w:tc>
          <w:tcPr>
            <w:tcW w:w="2834" w:type="dxa"/>
          </w:tcPr>
          <w:p w14:paraId="4D996D19" w14:textId="77777777" w:rsidR="006565FE" w:rsidRDefault="006565FE" w:rsidP="006565FE">
            <w:pPr>
              <w:pStyle w:val="NoSpacing"/>
            </w:pPr>
            <w:r>
              <w:t>Lithium Ion battery in strimmer</w:t>
            </w:r>
          </w:p>
        </w:tc>
        <w:tc>
          <w:tcPr>
            <w:tcW w:w="2835" w:type="dxa"/>
          </w:tcPr>
          <w:p w14:paraId="11FB37D8" w14:textId="77777777" w:rsidR="006565FE" w:rsidRDefault="006565FE" w:rsidP="006565FE">
            <w:pPr>
              <w:pStyle w:val="NoSpacing"/>
            </w:pPr>
            <w:r>
              <w:t>Garden Shed</w:t>
            </w:r>
          </w:p>
        </w:tc>
        <w:tc>
          <w:tcPr>
            <w:tcW w:w="2835" w:type="dxa"/>
          </w:tcPr>
          <w:p w14:paraId="6D9A1230" w14:textId="77777777" w:rsidR="006565FE" w:rsidRDefault="006565FE" w:rsidP="006565FE">
            <w:pPr>
              <w:pStyle w:val="NoSpacing"/>
            </w:pPr>
            <w:r>
              <w:rPr>
                <w:rFonts w:cs="Arial"/>
                <w:noProof/>
                <w:color w:val="111111"/>
                <w:sz w:val="19"/>
                <w:szCs w:val="19"/>
                <w:lang w:eastAsia="en-GB"/>
              </w:rPr>
              <w:drawing>
                <wp:inline distT="0" distB="0" distL="0" distR="0" wp14:anchorId="3C58980A" wp14:editId="2DCD8017">
                  <wp:extent cx="412750" cy="425450"/>
                  <wp:effectExtent l="0" t="0" r="6350" b="0"/>
                  <wp:docPr id="1" name="Picture 1" descr="Flammable pict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lammable picto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Flam</w:t>
            </w:r>
            <w:r w:rsidR="006F7BC4">
              <w:t>m</w:t>
            </w:r>
            <w:r>
              <w:t>able</w:t>
            </w:r>
          </w:p>
        </w:tc>
        <w:tc>
          <w:tcPr>
            <w:tcW w:w="2835" w:type="dxa"/>
          </w:tcPr>
          <w:p w14:paraId="4AB8A888" w14:textId="1F30CEF6" w:rsidR="006565FE" w:rsidRDefault="006565FE" w:rsidP="00C978B7">
            <w:pPr>
              <w:pStyle w:val="ListParagraph"/>
              <w:numPr>
                <w:ilvl w:val="0"/>
                <w:numId w:val="3"/>
              </w:numPr>
            </w:pPr>
            <w:r>
              <w:t xml:space="preserve">Keep shed </w:t>
            </w:r>
            <w:proofErr w:type="gramStart"/>
            <w:r>
              <w:t>locked</w:t>
            </w:r>
            <w:proofErr w:type="gramEnd"/>
          </w:p>
          <w:p w14:paraId="2926553B" w14:textId="2E806AE4" w:rsidR="006565FE" w:rsidRDefault="006565FE" w:rsidP="00C978B7">
            <w:pPr>
              <w:pStyle w:val="ListParagraph"/>
              <w:numPr>
                <w:ilvl w:val="0"/>
                <w:numId w:val="3"/>
              </w:numPr>
            </w:pPr>
            <w:r>
              <w:t>Only trained staff to use</w:t>
            </w:r>
          </w:p>
        </w:tc>
        <w:tc>
          <w:tcPr>
            <w:tcW w:w="2835" w:type="dxa"/>
          </w:tcPr>
          <w:p w14:paraId="3EA07A85" w14:textId="77777777" w:rsidR="006565FE" w:rsidRDefault="006565FE" w:rsidP="006565FE">
            <w:pPr>
              <w:pStyle w:val="NoSpacing"/>
            </w:pPr>
            <w:r>
              <w:t>Low</w:t>
            </w:r>
          </w:p>
        </w:tc>
      </w:tr>
      <w:tr w:rsidR="00456F09" w14:paraId="6E5B338F" w14:textId="77777777" w:rsidTr="006565FE">
        <w:tc>
          <w:tcPr>
            <w:tcW w:w="2834" w:type="dxa"/>
          </w:tcPr>
          <w:p w14:paraId="00EDF480" w14:textId="77777777" w:rsidR="006565FE" w:rsidRDefault="00456F09" w:rsidP="002E39B6">
            <w:pPr>
              <w:pStyle w:val="NoSpacing"/>
            </w:pPr>
            <w:r>
              <w:t>Domestic cleaners (</w:t>
            </w:r>
            <w:r w:rsidR="002E39B6">
              <w:t>occasional and various)</w:t>
            </w:r>
          </w:p>
        </w:tc>
        <w:tc>
          <w:tcPr>
            <w:tcW w:w="2835" w:type="dxa"/>
          </w:tcPr>
          <w:p w14:paraId="43C976B1" w14:textId="77777777" w:rsidR="006565FE" w:rsidRDefault="00456F09" w:rsidP="006565FE">
            <w:pPr>
              <w:pStyle w:val="NoSpacing"/>
            </w:pPr>
            <w:r>
              <w:t>Kitchen sink cupboard</w:t>
            </w:r>
          </w:p>
        </w:tc>
        <w:tc>
          <w:tcPr>
            <w:tcW w:w="2835" w:type="dxa"/>
          </w:tcPr>
          <w:p w14:paraId="22DB33E1" w14:textId="77777777" w:rsidR="006565FE" w:rsidRDefault="006565FE" w:rsidP="006565FE">
            <w:pPr>
              <w:pStyle w:val="NoSpacing"/>
            </w:pPr>
            <w:r>
              <w:rPr>
                <w:rFonts w:cs="Arial"/>
                <w:noProof/>
                <w:color w:val="111111"/>
                <w:sz w:val="19"/>
                <w:szCs w:val="19"/>
                <w:lang w:eastAsia="en-GB"/>
              </w:rPr>
              <w:drawing>
                <wp:inline distT="0" distB="0" distL="0" distR="0" wp14:anchorId="3FB7BEA2" wp14:editId="0719233F">
                  <wp:extent cx="412750" cy="425450"/>
                  <wp:effectExtent l="0" t="0" r="6350" b="0"/>
                  <wp:docPr id="2" name="Picture 2" descr="Flammable pict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lammable picto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="00012DD2">
              <w:t>Respiratory</w:t>
            </w:r>
            <w:r w:rsidR="00456F09">
              <w:t xml:space="preserve"> hazard</w:t>
            </w:r>
          </w:p>
          <w:p w14:paraId="4E61F9EE" w14:textId="77777777" w:rsidR="00456F09" w:rsidRDefault="00A43D3D" w:rsidP="006565FE">
            <w:pPr>
              <w:pStyle w:val="NoSpacing"/>
            </w:pPr>
            <w:r>
              <w:rPr>
                <w:noProof/>
                <w:lang w:eastAsia="en-GB"/>
              </w:rPr>
              <w:drawing>
                <wp:inline distT="0" distB="0" distL="0" distR="0" wp14:anchorId="6A69EBEB" wp14:editId="7C8C93DF">
                  <wp:extent cx="419100" cy="419100"/>
                  <wp:effectExtent l="0" t="0" r="0" b="0"/>
                  <wp:docPr id="3" name="Picture 3" descr="coshh cau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shh cau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E39B6">
              <w:t xml:space="preserve">  </w:t>
            </w:r>
            <w:r>
              <w:t xml:space="preserve">Skin </w:t>
            </w:r>
            <w:r w:rsidR="002E39B6">
              <w:t>Irritant</w:t>
            </w:r>
          </w:p>
        </w:tc>
        <w:tc>
          <w:tcPr>
            <w:tcW w:w="2835" w:type="dxa"/>
          </w:tcPr>
          <w:p w14:paraId="1FBE0C56" w14:textId="73482F5A" w:rsidR="006565FE" w:rsidRDefault="00FB2824" w:rsidP="006565FE">
            <w:pPr>
              <w:pStyle w:val="NoSpacing"/>
            </w:pPr>
            <w:r>
              <w:t>On</w:t>
            </w:r>
            <w:r w:rsidR="006565FE">
              <w:t>ly staff to access cupboard</w:t>
            </w:r>
          </w:p>
        </w:tc>
        <w:tc>
          <w:tcPr>
            <w:tcW w:w="2835" w:type="dxa"/>
          </w:tcPr>
          <w:p w14:paraId="58EBEFCB" w14:textId="77777777" w:rsidR="006565FE" w:rsidRDefault="006565FE" w:rsidP="006565FE">
            <w:pPr>
              <w:pStyle w:val="NoSpacing"/>
            </w:pPr>
            <w:r>
              <w:t>Low</w:t>
            </w:r>
          </w:p>
        </w:tc>
      </w:tr>
      <w:tr w:rsidR="00456F09" w14:paraId="2106724A" w14:textId="77777777" w:rsidTr="006565FE">
        <w:tc>
          <w:tcPr>
            <w:tcW w:w="2834" w:type="dxa"/>
          </w:tcPr>
          <w:p w14:paraId="3BD5D59B" w14:textId="77777777" w:rsidR="006565FE" w:rsidRDefault="0044796D" w:rsidP="008F3E55">
            <w:pPr>
              <w:pStyle w:val="NoSpacing"/>
            </w:pPr>
            <w:r>
              <w:t>Hand Sanitiser</w:t>
            </w:r>
            <w:r w:rsidR="008F3E55">
              <w:t xml:space="preserve"> (anti-viral)</w:t>
            </w:r>
          </w:p>
        </w:tc>
        <w:tc>
          <w:tcPr>
            <w:tcW w:w="2835" w:type="dxa"/>
          </w:tcPr>
          <w:p w14:paraId="15708170" w14:textId="77777777" w:rsidR="006565FE" w:rsidRDefault="0044796D" w:rsidP="006565FE">
            <w:pPr>
              <w:pStyle w:val="NoSpacing"/>
            </w:pPr>
            <w:r>
              <w:t>Main Hall</w:t>
            </w:r>
          </w:p>
          <w:p w14:paraId="18226F45" w14:textId="77777777" w:rsidR="0044796D" w:rsidRDefault="0044796D" w:rsidP="006565FE">
            <w:pPr>
              <w:pStyle w:val="NoSpacing"/>
            </w:pPr>
            <w:r>
              <w:t>Green Room</w:t>
            </w:r>
          </w:p>
        </w:tc>
        <w:tc>
          <w:tcPr>
            <w:tcW w:w="2835" w:type="dxa"/>
          </w:tcPr>
          <w:p w14:paraId="7C136BC6" w14:textId="77777777" w:rsidR="006565FE" w:rsidRDefault="0044796D" w:rsidP="006565FE">
            <w:pPr>
              <w:pStyle w:val="NoSpacing"/>
            </w:pPr>
            <w:r>
              <w:rPr>
                <w:rFonts w:cs="Arial"/>
                <w:noProof/>
                <w:color w:val="111111"/>
                <w:sz w:val="19"/>
                <w:szCs w:val="19"/>
                <w:lang w:eastAsia="en-GB"/>
              </w:rPr>
              <w:drawing>
                <wp:inline distT="0" distB="0" distL="0" distR="0" wp14:anchorId="3811DBBB" wp14:editId="20276961">
                  <wp:extent cx="412750" cy="425450"/>
                  <wp:effectExtent l="0" t="0" r="6350" b="0"/>
                  <wp:docPr id="7" name="Picture 7" descr="Flammable pict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lammable picto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Flam</w:t>
            </w:r>
            <w:r w:rsidR="006F7BC4">
              <w:t>m</w:t>
            </w:r>
            <w:r>
              <w:t>able</w:t>
            </w:r>
          </w:p>
        </w:tc>
        <w:tc>
          <w:tcPr>
            <w:tcW w:w="2835" w:type="dxa"/>
          </w:tcPr>
          <w:p w14:paraId="101A9699" w14:textId="46ED105A" w:rsidR="006565FE" w:rsidRDefault="0044796D" w:rsidP="00084566">
            <w:pPr>
              <w:pStyle w:val="NoSpacing"/>
              <w:numPr>
                <w:ilvl w:val="0"/>
                <w:numId w:val="4"/>
              </w:numPr>
            </w:pPr>
            <w:proofErr w:type="spellStart"/>
            <w:r>
              <w:t>Harmfull</w:t>
            </w:r>
            <w:proofErr w:type="spellEnd"/>
            <w:r>
              <w:t xml:space="preserve"> only if near </w:t>
            </w:r>
            <w:r w:rsidR="00084566">
              <w:t xml:space="preserve">a </w:t>
            </w:r>
            <w:r>
              <w:t>naked flame</w:t>
            </w:r>
          </w:p>
          <w:p w14:paraId="6710353C" w14:textId="4A4670F4" w:rsidR="0044796D" w:rsidRDefault="0044796D" w:rsidP="00084566">
            <w:pPr>
              <w:pStyle w:val="NoSpacing"/>
              <w:numPr>
                <w:ilvl w:val="0"/>
                <w:numId w:val="4"/>
              </w:numPr>
            </w:pPr>
            <w:r>
              <w:t xml:space="preserve">No smoking in </w:t>
            </w:r>
            <w:r w:rsidR="00FB2824">
              <w:t>H</w:t>
            </w:r>
            <w:r>
              <w:t>all</w:t>
            </w:r>
          </w:p>
        </w:tc>
        <w:tc>
          <w:tcPr>
            <w:tcW w:w="2835" w:type="dxa"/>
          </w:tcPr>
          <w:p w14:paraId="73D72DD6" w14:textId="77777777" w:rsidR="006565FE" w:rsidRDefault="0044796D" w:rsidP="006565FE">
            <w:pPr>
              <w:pStyle w:val="NoSpacing"/>
            </w:pPr>
            <w:r>
              <w:t>Low</w:t>
            </w:r>
          </w:p>
        </w:tc>
      </w:tr>
    </w:tbl>
    <w:p w14:paraId="0F5B4AFD" w14:textId="77777777" w:rsidR="006565FE" w:rsidRPr="006565FE" w:rsidRDefault="006565FE" w:rsidP="006565FE">
      <w:pPr>
        <w:pStyle w:val="NoSpacing"/>
      </w:pPr>
    </w:p>
    <w:sectPr w:rsidR="006565FE" w:rsidRPr="006565FE" w:rsidSect="006565FE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B5181" w14:textId="77777777" w:rsidR="003114DA" w:rsidRDefault="003114DA" w:rsidP="008F3E55">
      <w:pPr>
        <w:spacing w:after="0" w:line="240" w:lineRule="auto"/>
      </w:pPr>
      <w:r>
        <w:separator/>
      </w:r>
    </w:p>
  </w:endnote>
  <w:endnote w:type="continuationSeparator" w:id="0">
    <w:p w14:paraId="646E2CAF" w14:textId="77777777" w:rsidR="003114DA" w:rsidRDefault="003114DA" w:rsidP="008F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6507F" w14:textId="5D24E7F6" w:rsidR="008F3E55" w:rsidRDefault="008F3E55">
    <w:pPr>
      <w:pStyle w:val="Footer"/>
    </w:pPr>
    <w:r>
      <w:t>August 202</w:t>
    </w:r>
    <w:r w:rsidR="00084566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97B6F" w14:textId="77777777" w:rsidR="003114DA" w:rsidRDefault="003114DA" w:rsidP="008F3E55">
      <w:pPr>
        <w:spacing w:after="0" w:line="240" w:lineRule="auto"/>
      </w:pPr>
      <w:r>
        <w:separator/>
      </w:r>
    </w:p>
  </w:footnote>
  <w:footnote w:type="continuationSeparator" w:id="0">
    <w:p w14:paraId="6478702D" w14:textId="77777777" w:rsidR="003114DA" w:rsidRDefault="003114DA" w:rsidP="008F3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A372F" w14:textId="2121BF5C" w:rsidR="00D7244E" w:rsidRPr="0068270A" w:rsidRDefault="00D7244E">
    <w:pPr>
      <w:pStyle w:val="Header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555739" wp14:editId="05FF936A">
          <wp:simplePos x="0" y="0"/>
          <wp:positionH relativeFrom="column">
            <wp:posOffset>-114300</wp:posOffset>
          </wp:positionH>
          <wp:positionV relativeFrom="paragraph">
            <wp:posOffset>-238760</wp:posOffset>
          </wp:positionV>
          <wp:extent cx="941070" cy="948690"/>
          <wp:effectExtent l="0" t="0" r="0" b="3810"/>
          <wp:wrapThrough wrapText="bothSides">
            <wp:wrapPolygon edited="0">
              <wp:start x="0" y="0"/>
              <wp:lineTo x="0" y="21253"/>
              <wp:lineTo x="20988" y="21253"/>
              <wp:lineTo x="20988" y="0"/>
              <wp:lineTo x="0" y="0"/>
            </wp:wrapPolygon>
          </wp:wrapThrough>
          <wp:docPr id="2117995113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995113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94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2770">
      <w:rPr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</w:t>
    </w:r>
    <w:r w:rsidR="0068270A">
      <w:rPr>
        <w:sz w:val="24"/>
        <w:szCs w:val="24"/>
      </w:rPr>
      <w:t xml:space="preserve">                   </w:t>
    </w:r>
    <w:r w:rsidR="0068270A">
      <w:rPr>
        <w:b/>
        <w:bCs/>
        <w:sz w:val="24"/>
        <w:szCs w:val="24"/>
      </w:rPr>
      <w:t>APPENDIX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42DE0"/>
    <w:multiLevelType w:val="hybridMultilevel"/>
    <w:tmpl w:val="71C65C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EB2040"/>
    <w:multiLevelType w:val="hybridMultilevel"/>
    <w:tmpl w:val="976A68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4090A"/>
    <w:multiLevelType w:val="hybridMultilevel"/>
    <w:tmpl w:val="B42210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A4E2B"/>
    <w:multiLevelType w:val="hybridMultilevel"/>
    <w:tmpl w:val="F4A85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0473096">
    <w:abstractNumId w:val="2"/>
  </w:num>
  <w:num w:numId="2" w16cid:durableId="880819602">
    <w:abstractNumId w:val="1"/>
  </w:num>
  <w:num w:numId="3" w16cid:durableId="173958707">
    <w:abstractNumId w:val="0"/>
  </w:num>
  <w:num w:numId="4" w16cid:durableId="1456949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FE"/>
    <w:rsid w:val="00012DD2"/>
    <w:rsid w:val="00084566"/>
    <w:rsid w:val="00095524"/>
    <w:rsid w:val="0017798A"/>
    <w:rsid w:val="002E39B6"/>
    <w:rsid w:val="003114DA"/>
    <w:rsid w:val="003265FF"/>
    <w:rsid w:val="0044796D"/>
    <w:rsid w:val="00456F09"/>
    <w:rsid w:val="004B0D82"/>
    <w:rsid w:val="004D63A1"/>
    <w:rsid w:val="00585CB4"/>
    <w:rsid w:val="005A75ED"/>
    <w:rsid w:val="006565FE"/>
    <w:rsid w:val="0068270A"/>
    <w:rsid w:val="006E699D"/>
    <w:rsid w:val="006F7BC4"/>
    <w:rsid w:val="008F3E55"/>
    <w:rsid w:val="009D604C"/>
    <w:rsid w:val="00A43D3D"/>
    <w:rsid w:val="00AC21F4"/>
    <w:rsid w:val="00B118DD"/>
    <w:rsid w:val="00C5340E"/>
    <w:rsid w:val="00C978B7"/>
    <w:rsid w:val="00D7244E"/>
    <w:rsid w:val="00EF2770"/>
    <w:rsid w:val="00FB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15675"/>
  <w15:docId w15:val="{0CF30708-6C35-40C8-B5BC-51D07AA7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65FE"/>
    <w:pPr>
      <w:spacing w:after="0" w:line="240" w:lineRule="auto"/>
    </w:pPr>
  </w:style>
  <w:style w:type="table" w:styleId="TableGrid">
    <w:name w:val="Table Grid"/>
    <w:basedOn w:val="TableNormal"/>
    <w:uiPriority w:val="59"/>
    <w:rsid w:val="00656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6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5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3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E55"/>
  </w:style>
  <w:style w:type="paragraph" w:styleId="Footer">
    <w:name w:val="footer"/>
    <w:basedOn w:val="Normal"/>
    <w:link w:val="FooterChar"/>
    <w:uiPriority w:val="99"/>
    <w:unhideWhenUsed/>
    <w:rsid w:val="008F3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E55"/>
  </w:style>
  <w:style w:type="paragraph" w:styleId="ListParagraph">
    <w:name w:val="List Paragraph"/>
    <w:basedOn w:val="Normal"/>
    <w:uiPriority w:val="34"/>
    <w:qFormat/>
    <w:rsid w:val="00C97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Bradshaw</dc:creator>
  <cp:lastModifiedBy>Sue Lewis</cp:lastModifiedBy>
  <cp:revision>13</cp:revision>
  <cp:lastPrinted>2020-10-06T11:19:00Z</cp:lastPrinted>
  <dcterms:created xsi:type="dcterms:W3CDTF">2020-10-20T12:09:00Z</dcterms:created>
  <dcterms:modified xsi:type="dcterms:W3CDTF">2023-07-25T10:20:00Z</dcterms:modified>
</cp:coreProperties>
</file>